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62" w:rsidRDefault="00B25462" w:rsidP="00B25462">
      <w:pPr>
        <w:jc w:val="center"/>
        <w:rPr>
          <w:rFonts w:cs="Times New Roman"/>
        </w:rPr>
      </w:pPr>
      <w:r>
        <w:rPr>
          <w:rFonts w:cs="Times New Roman"/>
        </w:rPr>
        <w:t>ITEM NO. 9</w:t>
      </w:r>
    </w:p>
    <w:p w:rsidR="00B25462" w:rsidRDefault="00B25462" w:rsidP="00B25462">
      <w:pPr>
        <w:jc w:val="both"/>
        <w:rPr>
          <w:rFonts w:cs="Times New Roman"/>
        </w:rPr>
      </w:pPr>
    </w:p>
    <w:p w:rsidR="00B25462" w:rsidRDefault="00B25462" w:rsidP="00B25462">
      <w:pPr>
        <w:jc w:val="both"/>
        <w:rPr>
          <w:rFonts w:cs="Times New Roman"/>
        </w:rPr>
      </w:pPr>
    </w:p>
    <w:p w:rsidR="00B25462" w:rsidRDefault="00B25462" w:rsidP="00B25462">
      <w:pPr>
        <w:rPr>
          <w:rFonts w:cs="Times New Roman"/>
        </w:rPr>
      </w:pPr>
      <w:r>
        <w:rPr>
          <w:rFonts w:cs="Times New Roman"/>
          <w:b/>
          <w:bCs/>
          <w:u w:val="single"/>
        </w:rPr>
        <w:t xml:space="preserve">COMPLIANCE WITH THE </w:t>
      </w:r>
      <w:proofErr w:type="gramStart"/>
      <w:r>
        <w:rPr>
          <w:rFonts w:cs="Times New Roman"/>
          <w:b/>
          <w:bCs/>
          <w:u w:val="single"/>
        </w:rPr>
        <w:t>NEW YORK</w:t>
      </w:r>
      <w:proofErr w:type="gramEnd"/>
      <w:r>
        <w:rPr>
          <w:rFonts w:cs="Times New Roman"/>
          <w:b/>
          <w:bCs/>
          <w:u w:val="single"/>
        </w:rPr>
        <w:t xml:space="preserve"> STATE PUBLIC AUTHORITIES ACCOUNTABILITY ACT OF 2005 AND PUBLIC AUTHORITIES REFORM ACT OF 2009</w:t>
      </w:r>
    </w:p>
    <w:p w:rsidR="00B25462" w:rsidRDefault="00B25462" w:rsidP="00B25462">
      <w:pPr>
        <w:rPr>
          <w:rFonts w:cs="Times New Roman"/>
        </w:rPr>
      </w:pPr>
    </w:p>
    <w:p w:rsidR="00B25462" w:rsidRDefault="00B25462" w:rsidP="00B25462">
      <w:pPr>
        <w:tabs>
          <w:tab w:val="left" w:pos="2618"/>
        </w:tabs>
        <w:ind w:left="2618" w:hanging="2618"/>
        <w:jc w:val="both"/>
        <w:rPr>
          <w:rFonts w:cs="Times New Roman"/>
        </w:rPr>
      </w:pPr>
      <w:r>
        <w:rPr>
          <w:rFonts w:cs="Times New Roman"/>
        </w:rPr>
        <w:t>WHEREAS:</w:t>
      </w:r>
      <w:r>
        <w:rPr>
          <w:rFonts w:cs="Times New Roman"/>
        </w:rPr>
        <w:tab/>
        <w:t>The New York State Public Authorities Accountability Act of 2005 and the Public Authorities Reform Act of 2009 require the Buffalo Sewer Authority to establish certain policies and procedures in accordance with the Authorities Accountability Act; and</w:t>
      </w:r>
    </w:p>
    <w:p w:rsidR="00B25462" w:rsidRDefault="00B25462" w:rsidP="00B25462">
      <w:pPr>
        <w:tabs>
          <w:tab w:val="left" w:pos="2618"/>
        </w:tabs>
        <w:ind w:left="2618" w:hanging="2618"/>
        <w:jc w:val="both"/>
        <w:rPr>
          <w:rFonts w:cs="Times New Roman"/>
        </w:rPr>
      </w:pPr>
    </w:p>
    <w:p w:rsidR="00B25462" w:rsidRDefault="00B25462" w:rsidP="00B25462">
      <w:pPr>
        <w:tabs>
          <w:tab w:val="left" w:pos="2618"/>
        </w:tabs>
        <w:ind w:left="2618" w:hanging="2618"/>
        <w:jc w:val="both"/>
        <w:rPr>
          <w:rFonts w:cs="Times New Roman"/>
        </w:rPr>
      </w:pPr>
      <w:r>
        <w:rPr>
          <w:rFonts w:cs="Times New Roman"/>
        </w:rPr>
        <w:t>WHEREAS:</w:t>
      </w:r>
      <w:r>
        <w:rPr>
          <w:rFonts w:cs="Times New Roman"/>
        </w:rPr>
        <w:tab/>
        <w:t>The Authority has considered its operations and various policies and procedures applicable to the requirements of the Authorities Accountability Act.</w:t>
      </w:r>
    </w:p>
    <w:p w:rsidR="00B25462" w:rsidRDefault="00B25462" w:rsidP="00B25462">
      <w:pPr>
        <w:tabs>
          <w:tab w:val="left" w:pos="2618"/>
        </w:tabs>
        <w:jc w:val="both"/>
        <w:rPr>
          <w:rFonts w:cs="Times New Roman"/>
        </w:rPr>
      </w:pPr>
    </w:p>
    <w:p w:rsidR="00B25462" w:rsidRDefault="00B25462" w:rsidP="00B25462">
      <w:pPr>
        <w:tabs>
          <w:tab w:val="left" w:pos="2618"/>
        </w:tabs>
        <w:ind w:left="2618" w:hanging="2618"/>
        <w:jc w:val="both"/>
        <w:rPr>
          <w:rFonts w:cs="Times New Roman"/>
        </w:rPr>
      </w:pPr>
      <w:r>
        <w:rPr>
          <w:rFonts w:cs="Times New Roman"/>
        </w:rPr>
        <w:t>NOW THEREFORE</w:t>
      </w:r>
    </w:p>
    <w:p w:rsidR="00B25462" w:rsidRDefault="00B25462" w:rsidP="00B25462">
      <w:pPr>
        <w:tabs>
          <w:tab w:val="left" w:pos="2618"/>
        </w:tabs>
        <w:ind w:left="2618" w:hanging="2618"/>
        <w:jc w:val="both"/>
        <w:rPr>
          <w:rFonts w:cs="Times New Roman"/>
        </w:rPr>
      </w:pPr>
      <w:r>
        <w:rPr>
          <w:rFonts w:cs="Times New Roman"/>
        </w:rPr>
        <w:t>BE IT RESOLVED:</w:t>
      </w:r>
      <w:r>
        <w:rPr>
          <w:rFonts w:cs="Times New Roman"/>
        </w:rPr>
        <w:tab/>
        <w:t>That the Board of the Buffalo Sewer Authority does hereby adopt the compensation policies currently in effect in the City of Buffalo with respect to the payment of salaries, compensation, reimbursements, time and attendance of the General Manager and Senior Management of the Authority.</w:t>
      </w:r>
    </w:p>
    <w:p w:rsidR="00B25462" w:rsidRDefault="00B25462" w:rsidP="00B25462">
      <w:pPr>
        <w:tabs>
          <w:tab w:val="left" w:pos="2618"/>
        </w:tabs>
        <w:ind w:left="2618" w:hanging="2618"/>
        <w:jc w:val="both"/>
        <w:rPr>
          <w:rFonts w:cs="Times New Roman"/>
        </w:rPr>
      </w:pPr>
    </w:p>
    <w:p w:rsidR="00B25462" w:rsidRDefault="00B25462" w:rsidP="00B25462">
      <w:pPr>
        <w:tabs>
          <w:tab w:val="left" w:pos="2618"/>
        </w:tabs>
        <w:ind w:left="2618" w:hanging="2618"/>
        <w:jc w:val="both"/>
        <w:rPr>
          <w:rFonts w:cs="Times New Roman"/>
        </w:rPr>
      </w:pPr>
      <w:r>
        <w:rPr>
          <w:rFonts w:cs="Times New Roman"/>
        </w:rPr>
        <w:t xml:space="preserve">BE IT FURTHER </w:t>
      </w:r>
    </w:p>
    <w:p w:rsidR="00B25462" w:rsidRDefault="00B25462" w:rsidP="00B25462">
      <w:pPr>
        <w:tabs>
          <w:tab w:val="left" w:pos="2618"/>
        </w:tabs>
        <w:ind w:left="2618" w:hanging="2618"/>
        <w:jc w:val="both"/>
        <w:rPr>
          <w:rFonts w:cs="Times New Roman"/>
        </w:rPr>
      </w:pPr>
      <w:r>
        <w:rPr>
          <w:rFonts w:cs="Times New Roman"/>
        </w:rPr>
        <w:t>RESOLVED:</w:t>
      </w:r>
      <w:r>
        <w:rPr>
          <w:rFonts w:cs="Times New Roman"/>
        </w:rPr>
        <w:tab/>
        <w:t xml:space="preserve">That the Board of the Buffalo Sewer Authority does hereby adopt the policies and procedures established by the City of Buffalo with respect to all personnel serving the Authority, including but not limited to as provided in New York Civil Service Law, Code of the City of Buffalo, and current collective bargaining agreements, and as they may be </w:t>
      </w:r>
      <w:proofErr w:type="gramStart"/>
      <w:r>
        <w:rPr>
          <w:rFonts w:cs="Times New Roman"/>
        </w:rPr>
        <w:t>amended</w:t>
      </w:r>
      <w:proofErr w:type="gramEnd"/>
      <w:r>
        <w:rPr>
          <w:rFonts w:cs="Times New Roman"/>
        </w:rPr>
        <w:t>.</w:t>
      </w:r>
    </w:p>
    <w:p w:rsidR="00B25462" w:rsidRDefault="00B25462" w:rsidP="00B25462">
      <w:pPr>
        <w:ind w:left="2431" w:hanging="2431"/>
        <w:jc w:val="both"/>
        <w:rPr>
          <w:rFonts w:cs="Times New Roman"/>
        </w:rPr>
      </w:pPr>
    </w:p>
    <w:p w:rsidR="00B25462" w:rsidRDefault="00B25462" w:rsidP="00B25462">
      <w:pPr>
        <w:ind w:left="2431" w:hanging="2431"/>
        <w:jc w:val="both"/>
        <w:rPr>
          <w:rFonts w:cs="Times New Roman"/>
        </w:rPr>
      </w:pPr>
    </w:p>
    <w:p w:rsidR="00B25462" w:rsidRDefault="00B25462" w:rsidP="00B25462">
      <w:pPr>
        <w:ind w:left="2431" w:hanging="2431"/>
        <w:jc w:val="both"/>
        <w:rPr>
          <w:rFonts w:cs="Times New Roman"/>
        </w:rPr>
      </w:pPr>
    </w:p>
    <w:tbl>
      <w:tblPr>
        <w:tblW w:w="0" w:type="auto"/>
        <w:jc w:val="right"/>
        <w:tblLook w:val="0000" w:firstRow="0" w:lastRow="0" w:firstColumn="0" w:lastColumn="0" w:noHBand="0" w:noVBand="0"/>
      </w:tblPr>
      <w:tblGrid>
        <w:gridCol w:w="1122"/>
        <w:gridCol w:w="374"/>
        <w:gridCol w:w="187"/>
        <w:gridCol w:w="748"/>
        <w:gridCol w:w="1122"/>
        <w:gridCol w:w="1240"/>
      </w:tblGrid>
      <w:tr w:rsidR="00B25462" w:rsidTr="001330C3">
        <w:trPr>
          <w:trHeight w:hRule="exact" w:val="518"/>
          <w:jc w:val="right"/>
        </w:trPr>
        <w:tc>
          <w:tcPr>
            <w:tcW w:w="1683" w:type="dxa"/>
            <w:gridSpan w:val="3"/>
            <w:vAlign w:val="bottom"/>
          </w:tcPr>
          <w:p w:rsidR="00B25462" w:rsidRDefault="00B25462" w:rsidP="001330C3">
            <w:pPr>
              <w:jc w:val="both"/>
              <w:rPr>
                <w:rFonts w:cs="Times New Roman"/>
              </w:rPr>
            </w:pPr>
            <w:r>
              <w:rPr>
                <w:rFonts w:cs="Times New Roman"/>
              </w:rPr>
              <w:t>MOTION TO</w:t>
            </w:r>
          </w:p>
        </w:tc>
        <w:tc>
          <w:tcPr>
            <w:tcW w:w="3110" w:type="dxa"/>
            <w:gridSpan w:val="3"/>
            <w:tcBorders>
              <w:bottom w:val="single" w:sz="4" w:space="0" w:color="auto"/>
            </w:tcBorders>
            <w:vAlign w:val="bottom"/>
          </w:tcPr>
          <w:p w:rsidR="00B25462" w:rsidRDefault="00B25462" w:rsidP="001330C3">
            <w:pPr>
              <w:jc w:val="center"/>
              <w:rPr>
                <w:rFonts w:cs="Times New Roman"/>
              </w:rPr>
            </w:pPr>
            <w:r>
              <w:rPr>
                <w:rFonts w:cs="Times New Roman"/>
              </w:rPr>
              <w:t>APPROVE</w:t>
            </w:r>
          </w:p>
        </w:tc>
      </w:tr>
      <w:tr w:rsidR="00B25462" w:rsidTr="001330C3">
        <w:trPr>
          <w:trHeight w:hRule="exact" w:val="518"/>
          <w:jc w:val="right"/>
        </w:trPr>
        <w:tc>
          <w:tcPr>
            <w:tcW w:w="1496" w:type="dxa"/>
            <w:gridSpan w:val="2"/>
            <w:vAlign w:val="bottom"/>
          </w:tcPr>
          <w:p w:rsidR="00B25462" w:rsidRDefault="00B25462" w:rsidP="001330C3">
            <w:pPr>
              <w:jc w:val="both"/>
              <w:rPr>
                <w:rFonts w:cs="Times New Roman"/>
              </w:rPr>
            </w:pPr>
            <w:r>
              <w:rPr>
                <w:rFonts w:cs="Times New Roman"/>
              </w:rPr>
              <w:t>MADE BY</w:t>
            </w:r>
          </w:p>
        </w:tc>
        <w:tc>
          <w:tcPr>
            <w:tcW w:w="3297" w:type="dxa"/>
            <w:gridSpan w:val="4"/>
            <w:tcBorders>
              <w:bottom w:val="single" w:sz="4" w:space="0" w:color="auto"/>
            </w:tcBorders>
            <w:vAlign w:val="bottom"/>
          </w:tcPr>
          <w:p w:rsidR="00B25462" w:rsidRDefault="00B25462" w:rsidP="001330C3">
            <w:pPr>
              <w:jc w:val="center"/>
              <w:rPr>
                <w:rFonts w:cs="Times New Roman"/>
              </w:rPr>
            </w:pPr>
            <w:r>
              <w:rPr>
                <w:rFonts w:cs="Times New Roman"/>
              </w:rPr>
              <w:t>MS. WILSON-DIVINCENZO</w:t>
            </w:r>
          </w:p>
        </w:tc>
      </w:tr>
      <w:tr w:rsidR="00B25462" w:rsidTr="001330C3">
        <w:trPr>
          <w:trHeight w:hRule="exact" w:val="518"/>
          <w:jc w:val="right"/>
        </w:trPr>
        <w:tc>
          <w:tcPr>
            <w:tcW w:w="1122" w:type="dxa"/>
            <w:vAlign w:val="bottom"/>
          </w:tcPr>
          <w:p w:rsidR="00B25462" w:rsidRDefault="00B25462" w:rsidP="001330C3">
            <w:pPr>
              <w:jc w:val="both"/>
              <w:rPr>
                <w:rFonts w:cs="Times New Roman"/>
              </w:rPr>
            </w:pPr>
            <w:r>
              <w:rPr>
                <w:rFonts w:cs="Times New Roman"/>
              </w:rPr>
              <w:t>2</w:t>
            </w:r>
            <w:r>
              <w:rPr>
                <w:rFonts w:cs="Times New Roman"/>
                <w:vertAlign w:val="superscript"/>
              </w:rPr>
              <w:t>ND</w:t>
            </w:r>
            <w:r>
              <w:rPr>
                <w:rFonts w:cs="Times New Roman"/>
              </w:rPr>
              <w:t xml:space="preserve"> BY</w:t>
            </w:r>
          </w:p>
        </w:tc>
        <w:tc>
          <w:tcPr>
            <w:tcW w:w="3671" w:type="dxa"/>
            <w:gridSpan w:val="5"/>
            <w:tcBorders>
              <w:bottom w:val="single" w:sz="4" w:space="0" w:color="auto"/>
            </w:tcBorders>
            <w:vAlign w:val="bottom"/>
          </w:tcPr>
          <w:p w:rsidR="00B25462" w:rsidRDefault="00B25462" w:rsidP="001330C3">
            <w:pPr>
              <w:jc w:val="center"/>
              <w:rPr>
                <w:rFonts w:cs="Times New Roman"/>
              </w:rPr>
            </w:pPr>
            <w:r>
              <w:rPr>
                <w:rFonts w:cs="Times New Roman"/>
              </w:rPr>
              <w:t>MR. KENNEDY, JR.</w:t>
            </w:r>
          </w:p>
        </w:tc>
      </w:tr>
      <w:tr w:rsidR="00B25462" w:rsidTr="001330C3">
        <w:trPr>
          <w:trHeight w:hRule="exact" w:val="518"/>
          <w:jc w:val="right"/>
        </w:trPr>
        <w:tc>
          <w:tcPr>
            <w:tcW w:w="1122" w:type="dxa"/>
            <w:vAlign w:val="bottom"/>
          </w:tcPr>
          <w:p w:rsidR="00B25462" w:rsidRDefault="00B25462" w:rsidP="001330C3">
            <w:pPr>
              <w:jc w:val="both"/>
              <w:rPr>
                <w:rFonts w:cs="Times New Roman"/>
              </w:rPr>
            </w:pPr>
            <w:r>
              <w:rPr>
                <w:rFonts w:cs="Times New Roman"/>
              </w:rPr>
              <w:t>AYES</w:t>
            </w:r>
          </w:p>
        </w:tc>
        <w:tc>
          <w:tcPr>
            <w:tcW w:w="1309" w:type="dxa"/>
            <w:gridSpan w:val="3"/>
            <w:tcBorders>
              <w:bottom w:val="single" w:sz="4" w:space="0" w:color="auto"/>
            </w:tcBorders>
            <w:vAlign w:val="bottom"/>
          </w:tcPr>
          <w:p w:rsidR="00B25462" w:rsidRDefault="00B25462" w:rsidP="001330C3">
            <w:pPr>
              <w:jc w:val="center"/>
              <w:rPr>
                <w:rFonts w:cs="Times New Roman"/>
              </w:rPr>
            </w:pPr>
            <w:r>
              <w:rPr>
                <w:rFonts w:cs="Times New Roman"/>
              </w:rPr>
              <w:t>5</w:t>
            </w:r>
          </w:p>
        </w:tc>
        <w:tc>
          <w:tcPr>
            <w:tcW w:w="1122" w:type="dxa"/>
            <w:vAlign w:val="bottom"/>
          </w:tcPr>
          <w:p w:rsidR="00B25462" w:rsidRDefault="00B25462" w:rsidP="001330C3">
            <w:pPr>
              <w:jc w:val="both"/>
              <w:rPr>
                <w:rFonts w:cs="Times New Roman"/>
              </w:rPr>
            </w:pPr>
            <w:r>
              <w:rPr>
                <w:rFonts w:cs="Times New Roman"/>
              </w:rPr>
              <w:t>NOES</w:t>
            </w:r>
          </w:p>
        </w:tc>
        <w:tc>
          <w:tcPr>
            <w:tcW w:w="1240" w:type="dxa"/>
            <w:tcBorders>
              <w:bottom w:val="single" w:sz="4" w:space="0" w:color="auto"/>
            </w:tcBorders>
            <w:vAlign w:val="bottom"/>
          </w:tcPr>
          <w:p w:rsidR="00B25462" w:rsidRDefault="00B25462" w:rsidP="001330C3">
            <w:pPr>
              <w:jc w:val="center"/>
              <w:rPr>
                <w:rFonts w:cs="Times New Roman"/>
              </w:rPr>
            </w:pPr>
            <w:r>
              <w:rPr>
                <w:rFonts w:cs="Times New Roman"/>
              </w:rPr>
              <w:t>0</w:t>
            </w:r>
          </w:p>
        </w:tc>
      </w:tr>
      <w:tr w:rsidR="00B25462" w:rsidTr="001330C3">
        <w:trPr>
          <w:trHeight w:hRule="exact" w:val="518"/>
          <w:jc w:val="right"/>
        </w:trPr>
        <w:tc>
          <w:tcPr>
            <w:tcW w:w="4793" w:type="dxa"/>
            <w:gridSpan w:val="6"/>
            <w:vAlign w:val="bottom"/>
          </w:tcPr>
          <w:p w:rsidR="00B25462" w:rsidRDefault="00B25462" w:rsidP="001330C3">
            <w:pPr>
              <w:jc w:val="right"/>
              <w:rPr>
                <w:rFonts w:cs="Times New Roman"/>
              </w:rPr>
            </w:pPr>
            <w:r>
              <w:rPr>
                <w:rFonts w:cs="Times New Roman"/>
              </w:rPr>
              <w:t>Board Meeting of July 28, 2010</w:t>
            </w:r>
          </w:p>
        </w:tc>
      </w:tr>
    </w:tbl>
    <w:p w:rsidR="00B25462" w:rsidRDefault="00B25462" w:rsidP="00B25462">
      <w:pPr>
        <w:ind w:left="2431" w:hanging="2431"/>
        <w:jc w:val="both"/>
      </w:pPr>
    </w:p>
    <w:p w:rsidR="002F7EBC" w:rsidRDefault="002F7EBC"/>
    <w:sectPr w:rsidR="002F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62"/>
    <w:rsid w:val="002F7EBC"/>
    <w:rsid w:val="008B7D42"/>
    <w:rsid w:val="00B2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E56D6-CC70-49D6-93BC-A1895A91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46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Buffalo Sewer Authority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2018-12-14T16:41:00Z</dcterms:created>
  <dcterms:modified xsi:type="dcterms:W3CDTF">2018-12-14T16:43:00Z</dcterms:modified>
</cp:coreProperties>
</file>